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0" w:type="dxa"/>
        <w:tblLook w:val="04A0" w:firstRow="1" w:lastRow="0" w:firstColumn="1" w:lastColumn="0" w:noHBand="0" w:noVBand="1"/>
      </w:tblPr>
      <w:tblGrid>
        <w:gridCol w:w="5060"/>
        <w:gridCol w:w="5060"/>
      </w:tblGrid>
      <w:tr w:rsidR="00496037" w:rsidRPr="00496037" w14:paraId="66B456C2" w14:textId="77777777" w:rsidTr="00496037">
        <w:trPr>
          <w:trHeight w:val="360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7B3B" w14:textId="378503B0" w:rsidR="00496037" w:rsidRPr="00496037" w:rsidRDefault="00496037" w:rsidP="0049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Catholic Community of Ascension and St. Augustine</w:t>
            </w:r>
          </w:p>
        </w:tc>
      </w:tr>
      <w:tr w:rsidR="00496037" w:rsidRPr="00496037" w14:paraId="2545C205" w14:textId="77777777" w:rsidTr="00496037">
        <w:trPr>
          <w:trHeight w:val="360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3688" w14:textId="77777777" w:rsidR="00496037" w:rsidRPr="00496037" w:rsidRDefault="00496037" w:rsidP="0049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Profit and Loss</w:t>
            </w:r>
          </w:p>
        </w:tc>
      </w:tr>
      <w:tr w:rsidR="00496037" w:rsidRPr="00496037" w14:paraId="72CC683B" w14:textId="77777777" w:rsidTr="00496037">
        <w:trPr>
          <w:trHeight w:val="300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FFA7" w14:textId="77777777" w:rsidR="00496037" w:rsidRPr="00496037" w:rsidRDefault="00496037" w:rsidP="0049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July 2024 - June 2025</w:t>
            </w:r>
          </w:p>
        </w:tc>
      </w:tr>
      <w:tr w:rsidR="00496037" w:rsidRPr="00496037" w14:paraId="28B53A81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92FA" w14:textId="77777777" w:rsidR="00496037" w:rsidRPr="00496037" w:rsidRDefault="00496037" w:rsidP="0049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4621" w14:textId="77777777" w:rsidR="00496037" w:rsidRPr="00496037" w:rsidRDefault="00496037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6037" w:rsidRPr="00496037" w14:paraId="6E4FCE90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22A86" w14:textId="77777777" w:rsidR="00496037" w:rsidRPr="00496037" w:rsidRDefault="00496037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763158" w14:textId="77777777" w:rsidR="00496037" w:rsidRPr="00496037" w:rsidRDefault="00496037" w:rsidP="0049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</w:tc>
      </w:tr>
      <w:tr w:rsidR="00496037" w:rsidRPr="00496037" w14:paraId="3360AF57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4631A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Income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A886D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96037" w:rsidRPr="00496037" w14:paraId="7AC7A178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36C1B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A-1 Offertory Collections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716F0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1,276,257.88  </w:t>
            </w:r>
          </w:p>
        </w:tc>
      </w:tr>
      <w:tr w:rsidR="00496037" w:rsidRPr="00496037" w14:paraId="775E0331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A5FD8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A-2 Other Operating Income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BC6FE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147,542.72  </w:t>
            </w:r>
          </w:p>
        </w:tc>
      </w:tr>
      <w:tr w:rsidR="00496037" w:rsidRPr="00496037" w14:paraId="3CB7F47C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D77FE" w14:textId="59214E64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A-3 Operating Income from </w:t>
            </w:r>
            <w:r w:rsidR="00A91D95"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Investment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13B97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8,844.77  </w:t>
            </w:r>
          </w:p>
        </w:tc>
      </w:tr>
      <w:tr w:rsidR="00496037" w:rsidRPr="00496037" w14:paraId="04FAF95B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B10B6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A-4 Specific Operating Areas Income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D03E4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202,413.56  </w:t>
            </w:r>
          </w:p>
        </w:tc>
      </w:tr>
      <w:tr w:rsidR="00496037" w:rsidRPr="00496037" w14:paraId="081BE114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CBC07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A-5 Evangelization, Catechesis, and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61336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27,598.60  </w:t>
            </w:r>
          </w:p>
        </w:tc>
      </w:tr>
      <w:tr w:rsidR="00496037" w:rsidRPr="00496037" w14:paraId="1F8AE535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6634E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 Income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46C732B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$                                                                                     1,662,657.53  </w:t>
            </w:r>
          </w:p>
        </w:tc>
      </w:tr>
      <w:tr w:rsidR="00496037" w:rsidRPr="00496037" w14:paraId="11858D70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7D8A7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Gross Profit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C8F5390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$                                                                                     1,662,657.53  </w:t>
            </w:r>
          </w:p>
        </w:tc>
      </w:tr>
      <w:tr w:rsidR="00496037" w:rsidRPr="00496037" w14:paraId="79C05879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FB829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Expenses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98D8C1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96037" w:rsidRPr="00496037" w14:paraId="76F7F924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F1D87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B Cost of Facilities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CC2BF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329,182.78  </w:t>
            </w:r>
          </w:p>
        </w:tc>
      </w:tr>
      <w:tr w:rsidR="00496037" w:rsidRPr="00496037" w14:paraId="1467EBA0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DDF87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C Administration Expenses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504D9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145,213.61  </w:t>
            </w:r>
          </w:p>
        </w:tc>
      </w:tr>
      <w:tr w:rsidR="00496037" w:rsidRPr="00496037" w14:paraId="56D30CA1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71717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D Worship Expense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DAF82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151,655.20  </w:t>
            </w:r>
          </w:p>
        </w:tc>
      </w:tr>
      <w:tr w:rsidR="00496037" w:rsidRPr="00496037" w14:paraId="175B58ED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866CF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E Specific Operating Area Expense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D09BC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119,062.16  </w:t>
            </w:r>
          </w:p>
        </w:tc>
      </w:tr>
      <w:tr w:rsidR="00496037" w:rsidRPr="00496037" w14:paraId="0E5BB099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F3798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F Labor Costs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47E3D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565,209.18  </w:t>
            </w:r>
          </w:p>
        </w:tc>
      </w:tr>
      <w:tr w:rsidR="00496037" w:rsidRPr="00496037" w14:paraId="04E2EB3D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92872A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G Employee Benefit Costs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84F32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189,781.68  </w:t>
            </w:r>
          </w:p>
        </w:tc>
      </w:tr>
      <w:tr w:rsidR="00496037" w:rsidRPr="00496037" w14:paraId="76A364A5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72DDF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H Evangelization, Catechesis, an0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78C04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18,562.69  </w:t>
            </w:r>
          </w:p>
        </w:tc>
      </w:tr>
      <w:tr w:rsidR="00496037" w:rsidRPr="00496037" w14:paraId="481989CD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8FD0F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H-1 Allocations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110AC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-28,403.36  </w:t>
            </w:r>
          </w:p>
        </w:tc>
      </w:tr>
      <w:tr w:rsidR="00496037" w:rsidRPr="00496037" w14:paraId="6677340D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845EE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I School and Archdiocesan Support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F87BE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353,236.43  </w:t>
            </w:r>
          </w:p>
        </w:tc>
      </w:tr>
      <w:tr w:rsidR="00496037" w:rsidRPr="00496037" w14:paraId="20A6E7C6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4C120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 Expenses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419967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$                                                                                     1,843,500.37  </w:t>
            </w:r>
          </w:p>
        </w:tc>
      </w:tr>
      <w:tr w:rsidR="00496037" w:rsidRPr="00496037" w14:paraId="4254ECA4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66B39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Net Operating Income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1C50CE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-$                                                                                       180,842.84  </w:t>
            </w:r>
          </w:p>
        </w:tc>
      </w:tr>
      <w:tr w:rsidR="00496037" w:rsidRPr="00496037" w14:paraId="7E901A32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72884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Other Income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A4118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96037" w:rsidRPr="00496037" w14:paraId="3656BE43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9E041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K-1 Fundraising Income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D13A1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21,864.46  </w:t>
            </w:r>
          </w:p>
        </w:tc>
      </w:tr>
      <w:tr w:rsidR="00496037" w:rsidRPr="00496037" w14:paraId="66A2A358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DE1B6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K-2 Investment Income- Non-</w:t>
            </w:r>
            <w:proofErr w:type="spellStart"/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Operatin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8E6FF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172,477.81  </w:t>
            </w:r>
          </w:p>
        </w:tc>
      </w:tr>
      <w:tr w:rsidR="00496037" w:rsidRPr="00496037" w14:paraId="1018012B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15797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 Other Income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69EF8F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$                                                                                        194,342.27  </w:t>
            </w:r>
          </w:p>
        </w:tc>
      </w:tr>
      <w:tr w:rsidR="00496037" w:rsidRPr="00496037" w14:paraId="201E6C34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1754A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Other Expenses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D40DE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96037" w:rsidRPr="00496037" w14:paraId="492B1126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9BB6A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L Other Non-Operating Expenses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7B803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67,772.48  </w:t>
            </w:r>
          </w:p>
        </w:tc>
      </w:tr>
      <w:tr w:rsidR="00496037" w:rsidRPr="00496037" w14:paraId="2A562EB8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3DB247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 Other Expenses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ED0E9C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$                                                                                          67,772.48  </w:t>
            </w:r>
          </w:p>
        </w:tc>
      </w:tr>
      <w:tr w:rsidR="00496037" w:rsidRPr="00496037" w14:paraId="494ADAB6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B1D96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Net Other Income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7BAEE0B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$                                                                                        126,569.79  </w:t>
            </w:r>
          </w:p>
        </w:tc>
      </w:tr>
      <w:tr w:rsidR="00496037" w:rsidRPr="00496037" w14:paraId="522BCF61" w14:textId="77777777" w:rsidTr="0049603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5533B" w14:textId="77777777" w:rsidR="00496037" w:rsidRPr="00496037" w:rsidRDefault="00496037" w:rsidP="00496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Net Income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46D37A" w14:textId="77777777" w:rsidR="00496037" w:rsidRPr="00496037" w:rsidRDefault="00496037" w:rsidP="004960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0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-$                                                                                         54,273.05  </w:t>
            </w:r>
          </w:p>
        </w:tc>
      </w:tr>
    </w:tbl>
    <w:p w14:paraId="6D0F87FD" w14:textId="77777777" w:rsidR="00A62296" w:rsidRDefault="00A62296"/>
    <w:p w14:paraId="265518FA" w14:textId="2268D3C6" w:rsidR="00496037" w:rsidRPr="00BD0C92" w:rsidRDefault="009B449E" w:rsidP="004960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</w:t>
      </w:r>
      <w:r w:rsidR="00496037" w:rsidRPr="00BD0C92">
        <w:rPr>
          <w:rFonts w:ascii="Arial" w:hAnsi="Arial" w:cs="Arial"/>
          <w:b/>
          <w:bCs/>
          <w:sz w:val="20"/>
          <w:szCs w:val="20"/>
        </w:rPr>
        <w:t>hank you all</w:t>
      </w:r>
      <w:r w:rsidR="00496037" w:rsidRPr="00BD0C92">
        <w:rPr>
          <w:rFonts w:ascii="Arial" w:hAnsi="Arial" w:cs="Arial"/>
          <w:sz w:val="20"/>
          <w:szCs w:val="20"/>
        </w:rPr>
        <w:t xml:space="preserve"> for your generous support not only </w:t>
      </w:r>
      <w:r>
        <w:rPr>
          <w:rFonts w:ascii="Arial" w:hAnsi="Arial" w:cs="Arial"/>
          <w:sz w:val="20"/>
          <w:szCs w:val="20"/>
        </w:rPr>
        <w:t>with</w:t>
      </w:r>
      <w:r w:rsidR="00496037" w:rsidRPr="00BD0C92">
        <w:rPr>
          <w:rFonts w:ascii="Arial" w:hAnsi="Arial" w:cs="Arial"/>
          <w:sz w:val="20"/>
          <w:szCs w:val="20"/>
        </w:rPr>
        <w:t xml:space="preserve"> your financial offering, but for those who have stepped forward to </w:t>
      </w:r>
      <w:r w:rsidRPr="00BD0C92">
        <w:rPr>
          <w:rFonts w:ascii="Arial" w:hAnsi="Arial" w:cs="Arial"/>
          <w:sz w:val="20"/>
          <w:szCs w:val="20"/>
        </w:rPr>
        <w:t>volunteer</w:t>
      </w:r>
      <w:r>
        <w:rPr>
          <w:rFonts w:ascii="Arial" w:hAnsi="Arial" w:cs="Arial"/>
          <w:sz w:val="20"/>
          <w:szCs w:val="20"/>
        </w:rPr>
        <w:t xml:space="preserve"> </w:t>
      </w:r>
      <w:r w:rsidR="00496037" w:rsidRPr="00BD0C92">
        <w:rPr>
          <w:rFonts w:ascii="Arial" w:hAnsi="Arial" w:cs="Arial"/>
          <w:sz w:val="20"/>
          <w:szCs w:val="20"/>
        </w:rPr>
        <w:t>so that our spiritual mission continues to grow.</w:t>
      </w:r>
    </w:p>
    <w:p w14:paraId="29ABFEEC" w14:textId="3AC86894" w:rsidR="00496037" w:rsidRPr="00BD0C92" w:rsidRDefault="00496037" w:rsidP="00496037">
      <w:pPr>
        <w:rPr>
          <w:rFonts w:ascii="Arial" w:hAnsi="Arial" w:cs="Arial"/>
          <w:sz w:val="20"/>
          <w:szCs w:val="20"/>
        </w:rPr>
      </w:pPr>
      <w:r w:rsidRPr="00BD0C92">
        <w:rPr>
          <w:rFonts w:ascii="Arial" w:hAnsi="Arial" w:cs="Arial"/>
          <w:sz w:val="20"/>
          <w:szCs w:val="20"/>
        </w:rPr>
        <w:t>This past fiscal year we have done the following work on our facilities:</w:t>
      </w:r>
      <w:r w:rsidR="009B449E">
        <w:rPr>
          <w:rFonts w:ascii="Arial" w:hAnsi="Arial" w:cs="Arial"/>
          <w:sz w:val="20"/>
          <w:szCs w:val="20"/>
        </w:rPr>
        <w:t xml:space="preserve"> completion of the updating and window replacement of the first floor of convent, now the Ministry building:  water damage repairs and repainting of the St. Augustine Church vestibule; boilers repairs on several of our boilers; and our new website. </w:t>
      </w:r>
    </w:p>
    <w:p w14:paraId="465F5DE1" w14:textId="58EEF1E3" w:rsidR="00496037" w:rsidRPr="00BD0C92" w:rsidRDefault="00496037" w:rsidP="00496037">
      <w:pPr>
        <w:rPr>
          <w:rFonts w:ascii="Arial" w:hAnsi="Arial" w:cs="Arial"/>
          <w:sz w:val="20"/>
          <w:szCs w:val="20"/>
        </w:rPr>
      </w:pPr>
      <w:r w:rsidRPr="00BD0C92">
        <w:rPr>
          <w:rFonts w:ascii="Arial" w:hAnsi="Arial" w:cs="Arial"/>
          <w:sz w:val="20"/>
          <w:szCs w:val="20"/>
        </w:rPr>
        <w:t xml:space="preserve">Under Father Dale’s guidance our pastoral programs have grown as well as those joining the programs including Men’s Ministry, Fr. Dale Bible Studies, </w:t>
      </w:r>
      <w:r w:rsidR="009B449E">
        <w:rPr>
          <w:rFonts w:ascii="Arial" w:hAnsi="Arial" w:cs="Arial"/>
          <w:sz w:val="20"/>
          <w:szCs w:val="20"/>
        </w:rPr>
        <w:t>OCI</w:t>
      </w:r>
      <w:r w:rsidRPr="00BD0C92">
        <w:rPr>
          <w:rFonts w:ascii="Arial" w:hAnsi="Arial" w:cs="Arial"/>
          <w:sz w:val="20"/>
          <w:szCs w:val="20"/>
        </w:rPr>
        <w:t xml:space="preserve">A, Grief Share and Young Adults.  Our JAM program (children’s ministry at 9am Mass) has expanded </w:t>
      </w:r>
      <w:r w:rsidR="009B449E">
        <w:rPr>
          <w:rFonts w:ascii="Arial" w:hAnsi="Arial" w:cs="Arial"/>
          <w:sz w:val="20"/>
          <w:szCs w:val="20"/>
        </w:rPr>
        <w:t>to 4 Sunday’s a month</w:t>
      </w:r>
      <w:r w:rsidRPr="00BD0C92">
        <w:rPr>
          <w:rFonts w:ascii="Arial" w:hAnsi="Arial" w:cs="Arial"/>
          <w:sz w:val="20"/>
          <w:szCs w:val="20"/>
        </w:rPr>
        <w:t xml:space="preserve">.  </w:t>
      </w:r>
    </w:p>
    <w:p w14:paraId="53A158C7" w14:textId="77777777" w:rsidR="00496037" w:rsidRDefault="00496037" w:rsidP="00496037">
      <w:pPr>
        <w:rPr>
          <w:rFonts w:ascii="Arial" w:hAnsi="Arial" w:cs="Arial"/>
          <w:sz w:val="20"/>
          <w:szCs w:val="20"/>
        </w:rPr>
      </w:pPr>
      <w:r w:rsidRPr="00BD0C92">
        <w:rPr>
          <w:rFonts w:ascii="Arial" w:hAnsi="Arial" w:cs="Arial"/>
          <w:sz w:val="20"/>
          <w:szCs w:val="20"/>
        </w:rPr>
        <w:t xml:space="preserve">As a parish we are moving forward and growing.  We will continue with facility repairs and </w:t>
      </w:r>
      <w:proofErr w:type="gramStart"/>
      <w:r w:rsidRPr="00BD0C92">
        <w:rPr>
          <w:rFonts w:ascii="Arial" w:hAnsi="Arial" w:cs="Arial"/>
          <w:sz w:val="20"/>
          <w:szCs w:val="20"/>
        </w:rPr>
        <w:t>growing</w:t>
      </w:r>
      <w:proofErr w:type="gramEnd"/>
      <w:r w:rsidRPr="00BD0C92">
        <w:rPr>
          <w:rFonts w:ascii="Arial" w:hAnsi="Arial" w:cs="Arial"/>
          <w:sz w:val="20"/>
          <w:szCs w:val="20"/>
        </w:rPr>
        <w:t xml:space="preserve"> our ministries.  We ask for your prayers and support.  The word THANKS cannot fully express our appreciation.</w:t>
      </w:r>
    </w:p>
    <w:p w14:paraId="6FD7B48A" w14:textId="77777777" w:rsidR="00496037" w:rsidRPr="00BD0C92" w:rsidRDefault="00496037" w:rsidP="004960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God Bless you.</w:t>
      </w:r>
    </w:p>
    <w:p w14:paraId="0BC8DBCD" w14:textId="77777777" w:rsidR="00496037" w:rsidRDefault="00496037"/>
    <w:sectPr w:rsidR="00496037" w:rsidSect="0049603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37"/>
    <w:rsid w:val="00055475"/>
    <w:rsid w:val="0026212D"/>
    <w:rsid w:val="00496037"/>
    <w:rsid w:val="006E043D"/>
    <w:rsid w:val="009B449E"/>
    <w:rsid w:val="00A61617"/>
    <w:rsid w:val="00A62296"/>
    <w:rsid w:val="00A91D95"/>
    <w:rsid w:val="00A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2F46"/>
  <w15:chartTrackingRefBased/>
  <w15:docId w15:val="{7989EB60-FE1F-4D24-B099-6ED94BE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Fair</dc:creator>
  <cp:keywords/>
  <dc:description/>
  <cp:lastModifiedBy>Marge Fair</cp:lastModifiedBy>
  <cp:revision>2</cp:revision>
  <cp:lastPrinted>2025-09-24T13:13:00Z</cp:lastPrinted>
  <dcterms:created xsi:type="dcterms:W3CDTF">2025-09-17T16:48:00Z</dcterms:created>
  <dcterms:modified xsi:type="dcterms:W3CDTF">2025-09-24T13:14:00Z</dcterms:modified>
</cp:coreProperties>
</file>